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5" w:history="1">
        <w:r w:rsidRPr="00C57A23">
          <w:rPr>
            <w:rFonts w:ascii="Arial" w:eastAsia="Times New Roman" w:hAnsi="Arial" w:cs="Arial"/>
            <w:color w:val="5F5F5F"/>
            <w:u w:val="single"/>
            <w:lang w:eastAsia="ru-RU"/>
          </w:rPr>
          <w:t>№ 209-ФЗ «О развитии малого и среднего предпринимательства в Российской Федерации»</w:t>
        </w:r>
      </w:hyperlink>
      <w:r w:rsidRPr="00C57A23">
        <w:rPr>
          <w:rFonts w:ascii="Arial" w:eastAsia="Times New Roman" w:hAnsi="Arial" w:cs="Arial"/>
          <w:color w:val="39465C"/>
          <w:lang w:eastAsia="ru-RU"/>
        </w:rPr>
        <w:t> (далее – Федеральный закон №209-ФЗ), к ним относятся: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1) формирование и реализация муниципальных программ развития малого и среднего предпринимательства;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</w:t>
      </w: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 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Муниципальные программы развития субъектов малого и среднего предпринимательства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proofErr w:type="gramStart"/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Муниципальные программы</w:t>
      </w:r>
      <w:r w:rsidRPr="00C57A23">
        <w:rPr>
          <w:rFonts w:ascii="Arial" w:eastAsia="Times New Roman" w:hAnsi="Arial" w:cs="Arial"/>
          <w:color w:val="39465C"/>
          <w:lang w:eastAsia="ru-RU"/>
        </w:rPr>
        <w:t>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Законодательство выделяет следующие </w:t>
      </w: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направления поддержки</w:t>
      </w:r>
      <w:r w:rsidRPr="00C57A23">
        <w:rPr>
          <w:rFonts w:ascii="Arial" w:eastAsia="Times New Roman" w:hAnsi="Arial" w:cs="Arial"/>
          <w:color w:val="39465C"/>
          <w:lang w:eastAsia="ru-RU"/>
        </w:rPr>
        <w:t> органами местного самоуправления развитию малого и среднего бизнеса, реализуемые в рамках муниципальных программ:</w:t>
      </w:r>
    </w:p>
    <w:tbl>
      <w:tblPr>
        <w:tblW w:w="115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5"/>
        <w:gridCol w:w="5683"/>
      </w:tblGrid>
      <w:tr w:rsidR="00C57A23" w:rsidRPr="00C57A23" w:rsidTr="00C57A23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b/>
                <w:bCs/>
                <w:i/>
                <w:iCs/>
                <w:color w:val="39465C"/>
                <w:lang w:eastAsia="ru-RU"/>
              </w:rPr>
              <w:t>мероприятия муниципальной  программы</w:t>
            </w:r>
          </w:p>
        </w:tc>
      </w:tr>
      <w:tr w:rsidR="00C57A23" w:rsidRPr="00C57A23" w:rsidTr="00C57A23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b/>
                <w:bCs/>
                <w:i/>
                <w:iCs/>
                <w:color w:val="39465C"/>
                <w:lang w:eastAsia="ru-RU"/>
              </w:rPr>
              <w:lastRenderedPageBreak/>
              <w:t>материальные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b/>
                <w:bCs/>
                <w:i/>
                <w:iCs/>
                <w:color w:val="39465C"/>
                <w:lang w:eastAsia="ru-RU"/>
              </w:rPr>
              <w:t>нематериальные</w:t>
            </w:r>
          </w:p>
        </w:tc>
      </w:tr>
      <w:tr w:rsidR="00C57A23" w:rsidRPr="00C57A23" w:rsidTr="00C57A23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i/>
                <w:iCs/>
                <w:color w:val="39465C"/>
                <w:lang w:eastAsia="ru-RU"/>
              </w:rPr>
              <w:t>финансовая поддержка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i/>
                <w:iCs/>
                <w:color w:val="39465C"/>
                <w:lang w:eastAsia="ru-RU"/>
              </w:rPr>
              <w:t>информационная поддержка</w:t>
            </w:r>
            <w:r w:rsidRPr="00C57A23">
              <w:rPr>
                <w:rFonts w:ascii="Arial" w:eastAsia="Times New Roman" w:hAnsi="Arial" w:cs="Arial"/>
                <w:b/>
                <w:bCs/>
                <w:i/>
                <w:iCs/>
                <w:color w:val="39465C"/>
                <w:lang w:eastAsia="ru-RU"/>
              </w:rPr>
              <w:t> </w:t>
            </w:r>
          </w:p>
        </w:tc>
      </w:tr>
      <w:tr w:rsidR="00C57A23" w:rsidRPr="00C57A23" w:rsidTr="00C57A23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i/>
                <w:iCs/>
                <w:color w:val="39465C"/>
                <w:lang w:eastAsia="ru-RU"/>
              </w:rPr>
              <w:t>имущественная поддержка</w:t>
            </w:r>
            <w:r w:rsidRPr="00C57A23">
              <w:rPr>
                <w:rFonts w:ascii="Arial" w:eastAsia="Times New Roman" w:hAnsi="Arial" w:cs="Arial"/>
                <w:b/>
                <w:bCs/>
                <w:i/>
                <w:iCs/>
                <w:color w:val="39465C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i/>
                <w:iCs/>
                <w:color w:val="39465C"/>
                <w:lang w:eastAsia="ru-RU"/>
              </w:rPr>
              <w:t>консультационная поддержка</w:t>
            </w:r>
            <w:r w:rsidRPr="00C57A23">
              <w:rPr>
                <w:rFonts w:ascii="Arial" w:eastAsia="Times New Roman" w:hAnsi="Arial" w:cs="Arial"/>
                <w:b/>
                <w:bCs/>
                <w:i/>
                <w:iCs/>
                <w:color w:val="39465C"/>
                <w:lang w:eastAsia="ru-RU"/>
              </w:rPr>
              <w:t> </w:t>
            </w:r>
          </w:p>
        </w:tc>
      </w:tr>
      <w:tr w:rsidR="00C57A23" w:rsidRPr="00C57A23" w:rsidTr="00C57A23">
        <w:trPr>
          <w:tblCellSpacing w:w="0" w:type="dxa"/>
          <w:jc w:val="center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i/>
                <w:iCs/>
                <w:color w:val="39465C"/>
                <w:lang w:eastAsia="ru-RU"/>
              </w:rPr>
              <w:t> 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i/>
                <w:iCs/>
                <w:color w:val="39465C"/>
                <w:lang w:eastAsia="ru-RU"/>
              </w:rPr>
              <w:t>поддержка в области подготовки, переподготовки и повышения квалификации работников</w:t>
            </w:r>
            <w:r w:rsidRPr="00C57A23">
              <w:rPr>
                <w:rFonts w:ascii="Arial" w:eastAsia="Times New Roman" w:hAnsi="Arial" w:cs="Arial"/>
                <w:b/>
                <w:bCs/>
                <w:i/>
                <w:iCs/>
                <w:color w:val="39465C"/>
                <w:lang w:eastAsia="ru-RU"/>
              </w:rPr>
              <w:t> </w:t>
            </w:r>
          </w:p>
        </w:tc>
      </w:tr>
      <w:tr w:rsidR="00C57A23" w:rsidRPr="00C57A23" w:rsidTr="00C57A23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A23" w:rsidRPr="00C57A23" w:rsidRDefault="00C57A23" w:rsidP="00C57A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9465C"/>
                <w:lang w:eastAsia="ru-RU"/>
              </w:rPr>
            </w:pPr>
            <w:r w:rsidRPr="00C57A23">
              <w:rPr>
                <w:rFonts w:ascii="Arial" w:eastAsia="Times New Roman" w:hAnsi="Arial" w:cs="Arial"/>
                <w:i/>
                <w:iCs/>
                <w:color w:val="39465C"/>
                <w:lang w:eastAsia="ru-RU"/>
              </w:rPr>
              <w:t>поддержка в области инноваций, промышленного производства, ремесленничества, в отдельных сферах правоотношений</w:t>
            </w:r>
          </w:p>
        </w:tc>
      </w:tr>
    </w:tbl>
    <w:p w:rsidR="00C57A23" w:rsidRPr="00C57A23" w:rsidRDefault="00C57A23" w:rsidP="00C57A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Финансовой поддержкой</w:t>
      </w:r>
      <w:r w:rsidRPr="00C57A23">
        <w:rPr>
          <w:rFonts w:ascii="Arial" w:eastAsia="Times New Roman" w:hAnsi="Arial" w:cs="Arial"/>
          <w:color w:val="39465C"/>
          <w:lang w:eastAsia="ru-RU"/>
        </w:rPr>
        <w:t>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i/>
          <w:iCs/>
          <w:color w:val="39465C"/>
          <w:lang w:eastAsia="ru-RU"/>
        </w:rPr>
        <w:t>Субсидии</w:t>
      </w:r>
      <w:r w:rsidRPr="00C57A23">
        <w:rPr>
          <w:rFonts w:ascii="Arial" w:eastAsia="Times New Roman" w:hAnsi="Arial" w:cs="Arial"/>
          <w:color w:val="39465C"/>
          <w:lang w:eastAsia="ru-RU"/>
        </w:rPr>
        <w:t>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i/>
          <w:iCs/>
          <w:color w:val="39465C"/>
          <w:lang w:eastAsia="ru-RU"/>
        </w:rPr>
        <w:t>Бюджетные инвестиции</w:t>
      </w:r>
      <w:r w:rsidRPr="00C57A23">
        <w:rPr>
          <w:rFonts w:ascii="Arial" w:eastAsia="Times New Roman" w:hAnsi="Arial" w:cs="Arial"/>
          <w:color w:val="39465C"/>
          <w:lang w:eastAsia="ru-RU"/>
        </w:rPr>
        <w:t>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i/>
          <w:iCs/>
          <w:color w:val="39465C"/>
          <w:lang w:eastAsia="ru-RU"/>
        </w:rPr>
        <w:t>Муниципальная гарантия</w:t>
      </w:r>
      <w:r w:rsidRPr="00C57A23">
        <w:rPr>
          <w:rFonts w:ascii="Arial" w:eastAsia="Times New Roman" w:hAnsi="Arial" w:cs="Arial"/>
          <w:color w:val="39465C"/>
          <w:lang w:eastAsia="ru-RU"/>
        </w:rPr>
        <w:t>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proofErr w:type="gramStart"/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Имущественная поддержка</w:t>
      </w:r>
      <w:r w:rsidRPr="00C57A23">
        <w:rPr>
          <w:rFonts w:ascii="Arial" w:eastAsia="Times New Roman" w:hAnsi="Arial" w:cs="Arial"/>
          <w:i/>
          <w:iCs/>
          <w:color w:val="39465C"/>
          <w:lang w:eastAsia="ru-RU"/>
        </w:rPr>
        <w:t>, </w:t>
      </w:r>
      <w:r w:rsidRPr="00C57A23">
        <w:rPr>
          <w:rFonts w:ascii="Arial" w:eastAsia="Times New Roman" w:hAnsi="Arial" w:cs="Arial"/>
          <w:color w:val="39465C"/>
          <w:lang w:eastAsia="ru-RU"/>
        </w:rPr>
        <w:t>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имущество должно использоваться по целевому назначению;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lastRenderedPageBreak/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Информационная поддержка</w:t>
      </w:r>
      <w:r w:rsidRPr="00C57A23">
        <w:rPr>
          <w:rFonts w:ascii="Arial" w:eastAsia="Times New Roman" w:hAnsi="Arial" w:cs="Arial"/>
          <w:color w:val="39465C"/>
          <w:lang w:eastAsia="ru-RU"/>
        </w:rPr>
        <w:t>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Такие системы должны содержать сведения: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о реализации муниципальных программ развития субъектов малого и среднего предпринимательства;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о финансово-экономическом состоянии субъектов малого и среднего предпринимательства;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об организациях, образующих инфраструктуру поддержки субъектов малого и среднего предпринимательства;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Консультационная поддержка</w:t>
      </w:r>
      <w:r w:rsidRPr="00C57A23">
        <w:rPr>
          <w:rFonts w:ascii="Arial" w:eastAsia="Times New Roman" w:hAnsi="Arial" w:cs="Arial"/>
          <w:color w:val="39465C"/>
          <w:lang w:eastAsia="ru-RU"/>
        </w:rPr>
        <w:t>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proofErr w:type="gramStart"/>
      <w:r w:rsidRPr="00C57A23">
        <w:rPr>
          <w:rFonts w:ascii="Arial" w:eastAsia="Times New Roman" w:hAnsi="Arial" w:cs="Arial"/>
          <w:color w:val="39465C"/>
          <w:lang w:eastAsia="ru-RU"/>
        </w:rPr>
        <w:t xml:space="preserve"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программ и рубрик в действующих СМИ по насущным проблемам малого и среднего предпринимательства, семинаров и конференций, пропаганда и освещение </w:t>
      </w:r>
      <w:r w:rsidRPr="00C57A23">
        <w:rPr>
          <w:rFonts w:ascii="Arial" w:eastAsia="Times New Roman" w:hAnsi="Arial" w:cs="Arial"/>
          <w:color w:val="39465C"/>
          <w:lang w:eastAsia="ru-RU"/>
        </w:rPr>
        <w:lastRenderedPageBreak/>
        <w:t>деятельности организаций поддержки субъектов малого и среднего предпринимательства).</w:t>
      </w:r>
      <w:proofErr w:type="gramEnd"/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proofErr w:type="gramStart"/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Поддержка в области подготовки, переподготовки и повышения квалификации кадров</w:t>
      </w:r>
      <w:r w:rsidRPr="00C57A23">
        <w:rPr>
          <w:rFonts w:ascii="Arial" w:eastAsia="Times New Roman" w:hAnsi="Arial" w:cs="Arial"/>
          <w:color w:val="39465C"/>
          <w:lang w:eastAsia="ru-RU"/>
        </w:rPr>
        <w:t>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</w:t>
      </w:r>
      <w:proofErr w:type="gramEnd"/>
      <w:r w:rsidRPr="00C57A23">
        <w:rPr>
          <w:rFonts w:ascii="Arial" w:eastAsia="Times New Roman" w:hAnsi="Arial" w:cs="Arial"/>
          <w:color w:val="39465C"/>
          <w:lang w:eastAsia="ru-RU"/>
        </w:rPr>
        <w:t>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софинансирования (субсидирования) обучения специалистов для малого и среднего предпринимательства.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</w:t>
      </w:r>
      <w:r w:rsidRPr="00C57A23">
        <w:rPr>
          <w:rFonts w:ascii="Arial" w:eastAsia="Times New Roman" w:hAnsi="Arial" w:cs="Arial"/>
          <w:color w:val="39465C"/>
          <w:lang w:eastAsia="ru-RU"/>
        </w:rPr>
        <w:t>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в отношении субъектов,</w:t>
      </w:r>
      <w:r w:rsidRPr="00C57A23">
        <w:rPr>
          <w:rFonts w:ascii="Arial" w:eastAsia="Times New Roman" w:hAnsi="Arial" w:cs="Arial"/>
          <w:i/>
          <w:iCs/>
          <w:color w:val="39465C"/>
          <w:lang w:eastAsia="ru-RU"/>
        </w:rPr>
        <w:t> </w:t>
      </w:r>
      <w:r w:rsidRPr="00C57A23">
        <w:rPr>
          <w:rFonts w:ascii="Arial" w:eastAsia="Times New Roman" w:hAnsi="Arial" w:cs="Arial"/>
          <w:color w:val="39465C"/>
          <w:lang w:eastAsia="ru-RU"/>
        </w:rPr>
        <w:t>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Оказание поддержки субъектам малого и среднего предпринимательства осуществляется </w:t>
      </w:r>
      <w:r w:rsidRPr="00C57A23">
        <w:rPr>
          <w:rFonts w:ascii="Arial" w:eastAsia="Times New Roman" w:hAnsi="Arial" w:cs="Arial"/>
          <w:b/>
          <w:bCs/>
          <w:i/>
          <w:iCs/>
          <w:color w:val="39465C"/>
          <w:lang w:eastAsia="ru-RU"/>
        </w:rPr>
        <w:t>в заявительном порядке</w:t>
      </w:r>
      <w:r w:rsidRPr="00C57A23">
        <w:rPr>
          <w:rFonts w:ascii="Arial" w:eastAsia="Times New Roman" w:hAnsi="Arial" w:cs="Arial"/>
          <w:color w:val="39465C"/>
          <w:lang w:eastAsia="ru-RU"/>
        </w:rPr>
        <w:t>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2) являющихся участниками соглашений о разделе продукции;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 xml:space="preserve">3) </w:t>
      </w:r>
      <w:proofErr w:type="gramStart"/>
      <w:r w:rsidRPr="00C57A23">
        <w:rPr>
          <w:rFonts w:ascii="Arial" w:eastAsia="Times New Roman" w:hAnsi="Arial" w:cs="Arial"/>
          <w:color w:val="39465C"/>
          <w:lang w:eastAsia="ru-RU"/>
        </w:rPr>
        <w:t>осуществляющих</w:t>
      </w:r>
      <w:proofErr w:type="gramEnd"/>
      <w:r w:rsidRPr="00C57A23">
        <w:rPr>
          <w:rFonts w:ascii="Arial" w:eastAsia="Times New Roman" w:hAnsi="Arial" w:cs="Arial"/>
          <w:color w:val="39465C"/>
          <w:lang w:eastAsia="ru-RU"/>
        </w:rPr>
        <w:t xml:space="preserve"> предпринимательскую деятельность в сфере игорного бизнеса;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lastRenderedPageBreak/>
        <w:t>4) являющихся в порядке, установленном </w:t>
      </w:r>
      <w:hyperlink r:id="rId6" w:anchor="block_1017" w:history="1">
        <w:r w:rsidRPr="00C57A23">
          <w:rPr>
            <w:rFonts w:ascii="Arial" w:eastAsia="Times New Roman" w:hAnsi="Arial" w:cs="Arial"/>
            <w:color w:val="5F5F5F"/>
            <w:u w:val="single"/>
            <w:lang w:eastAsia="ru-RU"/>
          </w:rPr>
          <w:t>законодательством</w:t>
        </w:r>
      </w:hyperlink>
      <w:r w:rsidRPr="00C57A23">
        <w:rPr>
          <w:rFonts w:ascii="Arial" w:eastAsia="Times New Roman" w:hAnsi="Arial" w:cs="Arial"/>
          <w:color w:val="39465C"/>
          <w:lang w:eastAsia="ru-RU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 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lang w:eastAsia="ru-RU"/>
        </w:rPr>
      </w:pPr>
      <w:r>
        <w:rPr>
          <w:rFonts w:ascii="Arial" w:eastAsia="Times New Roman" w:hAnsi="Arial" w:cs="Arial"/>
          <w:noProof/>
          <w:color w:val="5F5F5F"/>
          <w:lang w:eastAsia="ru-RU"/>
        </w:rPr>
        <w:drawing>
          <wp:inline distT="0" distB="0" distL="0" distR="0">
            <wp:extent cx="1431290" cy="1431290"/>
            <wp:effectExtent l="19050" t="0" r="0" b="0"/>
            <wp:docPr id="1" name="Рисунок 1" descr="http://www.kotovoadm.ru/tinybrowser/images/novosti/image00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tovoadm.ru/tinybrowser/images/novosti/image00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Анализ показателей развития малого и среднего предпринимательства и эффективности применения мер по его развитию, прогноз развития 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</w:t>
      </w:r>
    </w:p>
    <w:p w:rsidR="00C57A23" w:rsidRPr="00C57A23" w:rsidRDefault="00C57A23" w:rsidP="00C5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как часто и по каким вопросам предприниматели обращаются в администрацию;</w:t>
      </w:r>
    </w:p>
    <w:p w:rsidR="00C57A23" w:rsidRPr="00C57A23" w:rsidRDefault="00C57A23" w:rsidP="00C5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каковы сроки принятия решений по конкретным обращениям предпринимателей;</w:t>
      </w:r>
    </w:p>
    <w:p w:rsidR="00C57A23" w:rsidRPr="00C57A23" w:rsidRDefault="00C57A23" w:rsidP="00C5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чья инициатива преобладает в случае контактов между администрацией и предпринимателями;</w:t>
      </w:r>
    </w:p>
    <w:p w:rsidR="00C57A23" w:rsidRPr="00C57A23" w:rsidRDefault="00C57A23" w:rsidP="00C5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сколько новых предприятий регистрируется в муниципальном образовании ежемесячно;</w:t>
      </w:r>
    </w:p>
    <w:p w:rsidR="00C57A23" w:rsidRPr="00C57A23" w:rsidRDefault="00C57A23" w:rsidP="00C5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 xml:space="preserve">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C57A23">
        <w:rPr>
          <w:rFonts w:ascii="Arial" w:eastAsia="Times New Roman" w:hAnsi="Arial" w:cs="Arial"/>
          <w:color w:val="39465C"/>
          <w:lang w:eastAsia="ru-RU"/>
        </w:rPr>
        <w:t>сколько предприятий не работают</w:t>
      </w:r>
      <w:proofErr w:type="gramEnd"/>
      <w:r w:rsidRPr="00C57A23">
        <w:rPr>
          <w:rFonts w:ascii="Arial" w:eastAsia="Times New Roman" w:hAnsi="Arial" w:cs="Arial"/>
          <w:color w:val="39465C"/>
          <w:lang w:eastAsia="ru-RU"/>
        </w:rPr>
        <w:t xml:space="preserve"> или не выходят на контакт.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 xml:space="preserve"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</w:t>
      </w:r>
      <w:r w:rsidRPr="00C57A23">
        <w:rPr>
          <w:rFonts w:ascii="Arial" w:eastAsia="Times New Roman" w:hAnsi="Arial" w:cs="Arial"/>
          <w:color w:val="39465C"/>
          <w:lang w:eastAsia="ru-RU"/>
        </w:rPr>
        <w:lastRenderedPageBreak/>
        <w:t>благоприятных обстоятельств могут во многом определять большую активность предпринимателей, желающих начать новое дело.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C57A23" w:rsidRPr="00C57A23" w:rsidRDefault="00C57A23" w:rsidP="00C57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поддержка уже существующего бизнеса,</w:t>
      </w:r>
    </w:p>
    <w:p w:rsidR="00C57A23" w:rsidRPr="00C57A23" w:rsidRDefault="00C57A23" w:rsidP="00C57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создание рамочных условий и инфраструктуры поддержки предпринимательства,</w:t>
      </w:r>
    </w:p>
    <w:p w:rsidR="00C57A23" w:rsidRPr="00C57A23" w:rsidRDefault="00C57A23" w:rsidP="00C57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помощь начинающим предпринимателям и лицам, открывающим собственное дело,</w:t>
      </w:r>
    </w:p>
    <w:p w:rsidR="00C57A23" w:rsidRPr="00C57A23" w:rsidRDefault="00C57A23" w:rsidP="00C57A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содействие привлечению инвестиций извне.</w:t>
      </w: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 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Формирование инфраструктуры поддержки субъектов малого и среднего предпринимательства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proofErr w:type="gramStart"/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Инфраструктурой поддержки</w:t>
      </w:r>
      <w:r w:rsidRPr="00C57A23">
        <w:rPr>
          <w:rFonts w:ascii="Arial" w:eastAsia="Times New Roman" w:hAnsi="Arial" w:cs="Arial"/>
          <w:color w:val="39465C"/>
          <w:lang w:eastAsia="ru-RU"/>
        </w:rPr>
        <w:t>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Pr="00C57A23">
        <w:rPr>
          <w:rFonts w:ascii="Arial" w:eastAsia="Times New Roman" w:hAnsi="Arial" w:cs="Arial"/>
          <w:color w:val="39465C"/>
          <w:lang w:eastAsia="ru-RU"/>
        </w:rPr>
        <w:t xml:space="preserve"> и среднего предпринимательства, и оказания им поддержки.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 </w:t>
      </w:r>
      <w:proofErr w:type="gramStart"/>
      <w:r w:rsidRPr="00C57A23">
        <w:rPr>
          <w:rFonts w:ascii="Arial" w:eastAsia="Times New Roman" w:hAnsi="Arial" w:cs="Arial"/>
          <w:color w:val="39465C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C57A23">
        <w:rPr>
          <w:rFonts w:ascii="Arial" w:eastAsia="Times New Roman" w:hAnsi="Arial" w:cs="Arial"/>
          <w:color w:val="39465C"/>
          <w:lang w:eastAsia="ru-RU"/>
        </w:rPr>
        <w:t>инновационно-технологические</w:t>
      </w:r>
      <w:proofErr w:type="spellEnd"/>
      <w:r w:rsidRPr="00C57A23">
        <w:rPr>
          <w:rFonts w:ascii="Arial" w:eastAsia="Times New Roman" w:hAnsi="Arial" w:cs="Arial"/>
          <w:color w:val="39465C"/>
          <w:lang w:eastAsia="ru-RU"/>
        </w:rPr>
        <w:t xml:space="preserve"> центры, </w:t>
      </w:r>
      <w:proofErr w:type="spellStart"/>
      <w:r w:rsidRPr="00C57A23">
        <w:rPr>
          <w:rFonts w:ascii="Arial" w:eastAsia="Times New Roman" w:hAnsi="Arial" w:cs="Arial"/>
          <w:color w:val="39465C"/>
          <w:lang w:eastAsia="ru-RU"/>
        </w:rPr>
        <w:t>бизнес-инкубаторы</w:t>
      </w:r>
      <w:proofErr w:type="spellEnd"/>
      <w:r w:rsidRPr="00C57A23">
        <w:rPr>
          <w:rFonts w:ascii="Arial" w:eastAsia="Times New Roman" w:hAnsi="Arial" w:cs="Arial"/>
          <w:color w:val="39465C"/>
          <w:lang w:eastAsia="ru-RU"/>
        </w:rPr>
        <w:t>, палаты и центры ремесел, центры поддержки субподряда, маркетинговые и учебно-деловые</w:t>
      </w:r>
      <w:proofErr w:type="gramEnd"/>
      <w:r w:rsidRPr="00C57A23">
        <w:rPr>
          <w:rFonts w:ascii="Arial" w:eastAsia="Times New Roman" w:hAnsi="Arial" w:cs="Arial"/>
          <w:color w:val="39465C"/>
          <w:lang w:eastAsia="ru-RU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i/>
          <w:iCs/>
          <w:color w:val="39465C"/>
          <w:lang w:eastAsia="ru-RU"/>
        </w:rPr>
        <w:t>Бизнес-инкубатор</w:t>
      </w:r>
      <w:r w:rsidRPr="00C57A23">
        <w:rPr>
          <w:rFonts w:ascii="Arial" w:eastAsia="Times New Roman" w:hAnsi="Arial" w:cs="Arial"/>
          <w:color w:val="39465C"/>
          <w:lang w:eastAsia="ru-RU"/>
        </w:rPr>
        <w:t>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i/>
          <w:iCs/>
          <w:color w:val="39465C"/>
          <w:lang w:eastAsia="ru-RU"/>
        </w:rPr>
        <w:t>Гарантийные фонды</w:t>
      </w:r>
      <w:r w:rsidRPr="00C57A23">
        <w:rPr>
          <w:rFonts w:ascii="Arial" w:eastAsia="Times New Roman" w:hAnsi="Arial" w:cs="Arial"/>
          <w:color w:val="39465C"/>
          <w:lang w:eastAsia="ru-RU"/>
        </w:rPr>
        <w:t> обеспечивают малым предприятиям недостающее залоговое обеспечение при получении банковского кредита.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Содействие деятельности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некоммерческих организаций</w:t>
      </w:r>
      <w:r w:rsidRPr="00C57A23">
        <w:rPr>
          <w:rFonts w:ascii="Arial" w:eastAsia="Times New Roman" w:hAnsi="Arial" w:cs="Arial"/>
          <w:color w:val="39465C"/>
          <w:lang w:eastAsia="ru-RU"/>
        </w:rPr>
        <w:t> 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lastRenderedPageBreak/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Успех развития малого бизнеса зависит, в первую очередь, от самой власти.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Важным направлением взаимодействия власти и предпринимательства является вовлечение объединений предпринимателей в нормотворческий процесс, в подготовку изменений в нормативно-правовую базу предпринимательства, экспертизу проектов законов. К сожалению, на муниципальном уровне предприниматели пока разобщены и не могут должным образом отстаивать свои интересы. Помочь предпринимателям объединиться – это задача, которую необходимо взять на себя органам местного самоуправления совместно с наиболее крупными объединениями предпринимателей. В Новгородской области такую работу ведут региональная общественная организация «Союз предпринимателей Новгородской области», Новгородская торгово-промышленная палата, Новгородское региональное отделение Общероссийской общественной организации малого и среднего предпринимательства «Опора России», региональное объединение работодателей «Союз промышленников и предпринимателей Новгородской области».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Pr="00C57A23">
        <w:rPr>
          <w:rFonts w:ascii="Arial" w:eastAsia="Times New Roman" w:hAnsi="Arial" w:cs="Arial"/>
          <w:color w:val="39465C"/>
          <w:lang w:eastAsia="ru-RU"/>
        </w:rPr>
        <w:t>коррупции местных чиновников</w:t>
      </w:r>
      <w:proofErr w:type="gramEnd"/>
      <w:r w:rsidRPr="00C57A23">
        <w:rPr>
          <w:rFonts w:ascii="Arial" w:eastAsia="Times New Roman" w:hAnsi="Arial" w:cs="Arial"/>
          <w:color w:val="39465C"/>
          <w:lang w:eastAsia="ru-RU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b/>
          <w:bCs/>
          <w:color w:val="39465C"/>
          <w:lang w:eastAsia="ru-RU"/>
        </w:rPr>
        <w:t>Образование органами местного самоуправления координационных или совещательных органов 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</w:t>
      </w:r>
      <w:proofErr w:type="gramStart"/>
      <w:r w:rsidRPr="00C57A23">
        <w:rPr>
          <w:rFonts w:ascii="Arial" w:eastAsia="Times New Roman" w:hAnsi="Arial" w:cs="Arial"/>
          <w:color w:val="39465C"/>
          <w:lang w:eastAsia="ru-RU"/>
        </w:rPr>
        <w:t>,.</w:t>
      </w:r>
      <w:proofErr w:type="gramEnd"/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lastRenderedPageBreak/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Вместе с тем необходимо иметь в виду следующие обстоятельства:</w:t>
      </w:r>
    </w:p>
    <w:p w:rsidR="00C57A23" w:rsidRPr="00C57A23" w:rsidRDefault="00C57A23" w:rsidP="00C57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каждый предприниматель является самостоятельным хозяйствующим субъектом;</w:t>
      </w:r>
    </w:p>
    <w:p w:rsidR="00C57A23" w:rsidRPr="00C57A23" w:rsidRDefault="00C57A23" w:rsidP="00C57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C57A23" w:rsidRPr="00C57A23" w:rsidRDefault="00C57A23" w:rsidP="00C57A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proofErr w:type="gramStart"/>
      <w:r w:rsidRPr="00C57A23">
        <w:rPr>
          <w:rFonts w:ascii="Arial" w:eastAsia="Times New Roman" w:hAnsi="Arial" w:cs="Arial"/>
          <w:color w:val="39465C"/>
          <w:lang w:eastAsia="ru-RU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C57A23" w:rsidRPr="00C57A23" w:rsidRDefault="00C57A23" w:rsidP="00C57A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9465C"/>
          <w:lang w:eastAsia="ru-RU"/>
        </w:rPr>
      </w:pPr>
      <w:r w:rsidRPr="00C57A23">
        <w:rPr>
          <w:rFonts w:ascii="Arial" w:eastAsia="Times New Roman" w:hAnsi="Arial" w:cs="Arial"/>
          <w:color w:val="39465C"/>
          <w:lang w:eastAsia="ru-RU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C57A23" w:rsidRPr="00C57A23" w:rsidRDefault="00C57A23" w:rsidP="00C57A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lang w:eastAsia="ru-RU"/>
        </w:rPr>
      </w:pPr>
      <w:r>
        <w:rPr>
          <w:rFonts w:ascii="Arial" w:eastAsia="Times New Roman" w:hAnsi="Arial" w:cs="Arial"/>
          <w:noProof/>
          <w:color w:val="5F5F5F"/>
          <w:lang w:eastAsia="ru-RU"/>
        </w:rPr>
        <w:drawing>
          <wp:inline distT="0" distB="0" distL="0" distR="0">
            <wp:extent cx="2196465" cy="1431290"/>
            <wp:effectExtent l="19050" t="0" r="0" b="0"/>
            <wp:docPr id="2" name="Рисунок 2" descr="http://www.kotovoadm.ru/tinybrowser/images/novosti/image00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tovoadm.ru/tinybrowser/images/novosti/image00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23" w:rsidRDefault="00C57A23" w:rsidP="00C57A23">
      <w:pPr>
        <w:pStyle w:val="a3"/>
        <w:jc w:val="center"/>
        <w:rPr>
          <w:rFonts w:ascii="Arial" w:hAnsi="Arial" w:cs="Arial"/>
          <w:color w:val="39465C"/>
        </w:rPr>
      </w:pPr>
      <w:r>
        <w:rPr>
          <w:rStyle w:val="a5"/>
          <w:rFonts w:ascii="Arial" w:hAnsi="Arial" w:cs="Arial"/>
          <w:color w:val="39465C"/>
        </w:rPr>
        <w:t>ФЕДЕРАЛЬНОЕ ЗАКОНОДАТЕЛЬСТВО</w:t>
      </w:r>
    </w:p>
    <w:p w:rsidR="00C57A23" w:rsidRDefault="00C57A23" w:rsidP="00C57A23">
      <w:pPr>
        <w:pStyle w:val="a3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Федеральный закон от 22 июля 2008 года N 159-ФЗ </w:t>
      </w:r>
    </w:p>
    <w:p w:rsidR="00C57A23" w:rsidRDefault="00C57A23" w:rsidP="00C57A23">
      <w:pPr>
        <w:pStyle w:val="a3"/>
        <w:jc w:val="both"/>
        <w:rPr>
          <w:rFonts w:ascii="Arial" w:hAnsi="Arial" w:cs="Arial"/>
          <w:color w:val="39465C"/>
        </w:rPr>
      </w:pPr>
      <w:hyperlink r:id="rId11" w:tooltip="Федеральный закон от 22 июля 2008 года N 159-ФЗ " w:history="1">
        <w:r>
          <w:rPr>
            <w:rStyle w:val="a4"/>
            <w:rFonts w:ascii="Arial" w:hAnsi="Arial" w:cs="Arial"/>
            <w:color w:val="5F5F5F"/>
          </w:rPr>
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rFonts w:ascii="Arial" w:hAnsi="Arial" w:cs="Arial"/>
          <w:color w:val="39465C"/>
        </w:rPr>
        <w:t> </w:t>
      </w:r>
    </w:p>
    <w:p w:rsidR="00C57A23" w:rsidRDefault="00C57A23" w:rsidP="00C57A23">
      <w:pPr>
        <w:pStyle w:val="a3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 xml:space="preserve">Федеральный закон от 24 июля 2007 года №209-ФЗ (в ред. федеральных законов от 18.10.2007 N 230-ФЗ, от 22.07.2008 N 159-ФЗ, от 23.07.2008 N 160-ФЗ, </w:t>
      </w:r>
      <w:proofErr w:type="gramStart"/>
      <w:r>
        <w:rPr>
          <w:rFonts w:ascii="Arial" w:hAnsi="Arial" w:cs="Arial"/>
          <w:color w:val="39465C"/>
        </w:rPr>
        <w:t>от</w:t>
      </w:r>
      <w:proofErr w:type="gramEnd"/>
      <w:r>
        <w:rPr>
          <w:rFonts w:ascii="Arial" w:hAnsi="Arial" w:cs="Arial"/>
          <w:color w:val="39465C"/>
        </w:rPr>
        <w:t xml:space="preserve"> 02.08.2009 N 217-ФЗ, </w:t>
      </w:r>
      <w:proofErr w:type="gramStart"/>
      <w:r>
        <w:rPr>
          <w:rFonts w:ascii="Arial" w:hAnsi="Arial" w:cs="Arial"/>
          <w:color w:val="39465C"/>
        </w:rPr>
        <w:t>от</w:t>
      </w:r>
      <w:proofErr w:type="gramEnd"/>
      <w:r>
        <w:rPr>
          <w:rFonts w:ascii="Arial" w:hAnsi="Arial" w:cs="Arial"/>
          <w:color w:val="39465C"/>
        </w:rPr>
        <w:t xml:space="preserve"> 27.12.2009 N 365-ФЗ)</w:t>
      </w:r>
      <w:r>
        <w:rPr>
          <w:rFonts w:ascii="Arial" w:hAnsi="Arial" w:cs="Arial"/>
          <w:color w:val="39465C"/>
        </w:rPr>
        <w:br/>
      </w:r>
      <w:hyperlink r:id="rId12" w:history="1">
        <w:r>
          <w:rPr>
            <w:rStyle w:val="a4"/>
            <w:rFonts w:ascii="Arial" w:hAnsi="Arial" w:cs="Arial"/>
            <w:color w:val="5F5F5F"/>
          </w:rPr>
          <w:t>«О развитии малого и среднего предпринимательства в Российской Федерации»</w:t>
        </w:r>
      </w:hyperlink>
    </w:p>
    <w:p w:rsidR="00C57A23" w:rsidRDefault="00C57A23" w:rsidP="00C57A23">
      <w:pPr>
        <w:pStyle w:val="a3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 xml:space="preserve">Федеральный закон от 26 июля 2006 года N 135-ФЗ (в ред. Федеральных законов от 01.12.2007 N 318-ФЗ, от 29.04.2008 N 58-ФЗ, от 30.06.2008 N 108-ФЗ, </w:t>
      </w:r>
      <w:proofErr w:type="gramStart"/>
      <w:r>
        <w:rPr>
          <w:rFonts w:ascii="Arial" w:hAnsi="Arial" w:cs="Arial"/>
          <w:color w:val="39465C"/>
        </w:rPr>
        <w:t>от</w:t>
      </w:r>
      <w:proofErr w:type="gramEnd"/>
      <w:r>
        <w:rPr>
          <w:rFonts w:ascii="Arial" w:hAnsi="Arial" w:cs="Arial"/>
          <w:color w:val="39465C"/>
        </w:rPr>
        <w:t xml:space="preserve"> 08.11.2008 N 195-ФЗ)</w:t>
      </w:r>
      <w:hyperlink r:id="rId13" w:history="1">
        <w:r>
          <w:rPr>
            <w:rStyle w:val="a4"/>
            <w:rFonts w:ascii="Arial" w:hAnsi="Arial" w:cs="Arial"/>
            <w:color w:val="5F5F5F"/>
          </w:rPr>
          <w:t>«</w:t>
        </w:r>
        <w:proofErr w:type="gramStart"/>
        <w:r>
          <w:rPr>
            <w:rStyle w:val="a4"/>
            <w:rFonts w:ascii="Arial" w:hAnsi="Arial" w:cs="Arial"/>
            <w:color w:val="5F5F5F"/>
          </w:rPr>
          <w:t>О</w:t>
        </w:r>
        <w:proofErr w:type="gramEnd"/>
        <w:r>
          <w:rPr>
            <w:rStyle w:val="a4"/>
            <w:rFonts w:ascii="Arial" w:hAnsi="Arial" w:cs="Arial"/>
            <w:color w:val="5F5F5F"/>
          </w:rPr>
          <w:t xml:space="preserve"> защите конкуренции»</w:t>
        </w:r>
      </w:hyperlink>
    </w:p>
    <w:p w:rsidR="00C57A23" w:rsidRDefault="00C57A23" w:rsidP="00C57A23">
      <w:pPr>
        <w:pStyle w:val="a3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Федеральный закон от 26 декабря 2008 года N 294-ФЗ</w:t>
      </w:r>
      <w:r>
        <w:rPr>
          <w:rFonts w:ascii="Arial" w:hAnsi="Arial" w:cs="Arial"/>
          <w:color w:val="39465C"/>
        </w:rPr>
        <w:br/>
      </w:r>
      <w:hyperlink r:id="rId14" w:history="1">
        <w:r>
          <w:rPr>
            <w:rStyle w:val="a4"/>
            <w:rFonts w:ascii="Arial" w:hAnsi="Arial" w:cs="Arial"/>
            <w:color w:val="5F5F5F"/>
          </w:rPr>
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C57A23" w:rsidRDefault="00C57A23" w:rsidP="00C57A23">
      <w:pPr>
        <w:pStyle w:val="a3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Постановление от 6 мая 2011 г. N 352</w:t>
      </w:r>
      <w:r>
        <w:rPr>
          <w:rFonts w:ascii="Arial" w:hAnsi="Arial" w:cs="Arial"/>
          <w:color w:val="39465C"/>
        </w:rPr>
        <w:br/>
      </w:r>
      <w:hyperlink r:id="rId15" w:tooltip="Постановление от 6 мая 2011 г. N 352 " w:history="1">
        <w:r>
          <w:rPr>
            <w:rStyle w:val="a4"/>
            <w:rFonts w:ascii="Arial" w:hAnsi="Arial" w:cs="Arial"/>
            <w:color w:val="5F5F5F"/>
          </w:rPr>
          <w:t>«ОБ УТВЕРЖДЕНИИ ПЕРЕЧНЯ УСЛУГ, КОТОРЫЕ ЯВЛЯЮТСЯ НЕОБХОДИМЫМИ И ОБЯЗАТЕЛЬНЫМИ ДЛЯ ПРЕДОСТАВЛЕНИЯ ФЕДЕРАЛЬНЫМИ ОРГАНАМИ 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</w:t>
        </w:r>
      </w:hyperlink>
    </w:p>
    <w:p w:rsidR="00472FB9" w:rsidRDefault="00472FB9"/>
    <w:sectPr w:rsidR="00472FB9" w:rsidSect="0047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12E"/>
    <w:multiLevelType w:val="multilevel"/>
    <w:tmpl w:val="5E1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61E3D"/>
    <w:multiLevelType w:val="multilevel"/>
    <w:tmpl w:val="131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74400"/>
    <w:multiLevelType w:val="multilevel"/>
    <w:tmpl w:val="0AE6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7A23"/>
    <w:rsid w:val="00472FB9"/>
    <w:rsid w:val="00B525C4"/>
    <w:rsid w:val="00C5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7A23"/>
    <w:rPr>
      <w:color w:val="0000FF"/>
      <w:u w:val="single"/>
    </w:rPr>
  </w:style>
  <w:style w:type="character" w:styleId="a5">
    <w:name w:val="Strong"/>
    <w:basedOn w:val="a0"/>
    <w:uiPriority w:val="22"/>
    <w:qFormat/>
    <w:rsid w:val="00C57A23"/>
    <w:rPr>
      <w:b/>
      <w:bCs/>
    </w:rPr>
  </w:style>
  <w:style w:type="character" w:styleId="a6">
    <w:name w:val="Emphasis"/>
    <w:basedOn w:val="a0"/>
    <w:uiPriority w:val="20"/>
    <w:qFormat/>
    <w:rsid w:val="00C57A23"/>
    <w:rPr>
      <w:i/>
      <w:iCs/>
    </w:rPr>
  </w:style>
  <w:style w:type="paragraph" w:customStyle="1" w:styleId="s13">
    <w:name w:val="s13"/>
    <w:basedOn w:val="a"/>
    <w:rsid w:val="00C5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C5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nom.novreg.ru/upload/file/bisnes/zakon/FZ_N135-FZ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ovoadm.ru/tinybrowser/images/novosti/_full/_image003.jpg" TargetMode="External"/><Relationship Id="rId12" Type="http://schemas.openxmlformats.org/officeDocument/2006/relationships/hyperlink" Target="https://econom.novreg.ru/upload/file/bisnes/zakon/FZ_N209-FZ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3556/1/" TargetMode="External"/><Relationship Id="rId11" Type="http://schemas.openxmlformats.org/officeDocument/2006/relationships/hyperlink" Target="http://www.borkiadm.ru/tinybrowser/files/biznes/npb/2016/fz_n159-fz.doc" TargetMode="External"/><Relationship Id="rId5" Type="http://schemas.openxmlformats.org/officeDocument/2006/relationships/hyperlink" Target="http://base.consultant.ru/cons/cgi/online.cgi?req=doc;base=LAW;n=72040" TargetMode="External"/><Relationship Id="rId15" Type="http://schemas.openxmlformats.org/officeDocument/2006/relationships/hyperlink" Target="http://www.borkiadm.ru/tinybrowser/files/biznes/npb/2016/post_n352.doc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otovoadm.ru/tinybrowser/images/novosti/_full/_image004.jpg" TargetMode="External"/><Relationship Id="rId14" Type="http://schemas.openxmlformats.org/officeDocument/2006/relationships/hyperlink" Target="https://econom.novreg.ru/upload/file/bisnes/zakon/FZ_N294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2018-05-31T06:00:00Z</dcterms:created>
  <dcterms:modified xsi:type="dcterms:W3CDTF">2018-05-31T06:31:00Z</dcterms:modified>
</cp:coreProperties>
</file>